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DCEB"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Feedback on OGM Draft Guidance: Necessary and Reasonable Administrative Costs</w:t>
      </w:r>
    </w:p>
    <w:p w14:paraId="38C2DDD1"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Below are some bullet points that highlight concerns with each of the sections MACC sees as challenging for member organizations. Please make the language your own when you submit your feedback survey to OGM</w:t>
      </w:r>
    </w:p>
    <w:p w14:paraId="26C4687A"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 </w:t>
      </w:r>
    </w:p>
    <w:p w14:paraId="57E8EA15"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Q6: Clarity Issues — Guidance Document</w:t>
      </w:r>
    </w:p>
    <w:p w14:paraId="1D6918B3"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The gap for state-funded grants is the most important issue.</w:t>
      </w:r>
    </w:p>
    <w:p w14:paraId="63E5422C" w14:textId="77777777" w:rsidR="00F203EA" w:rsidRPr="00F203EA" w:rsidRDefault="00F203EA" w:rsidP="00F203EA">
      <w:pPr>
        <w:numPr>
          <w:ilvl w:val="0"/>
          <w:numId w:val="1"/>
        </w:numPr>
        <w:spacing w:line="240" w:lineRule="auto"/>
        <w:rPr>
          <w:rFonts w:ascii="Aptos" w:hAnsi="Aptos"/>
          <w:sz w:val="22"/>
          <w:szCs w:val="22"/>
        </w:rPr>
      </w:pPr>
      <w:r w:rsidRPr="00F203EA">
        <w:rPr>
          <w:rFonts w:ascii="Aptos" w:hAnsi="Aptos"/>
          <w:sz w:val="22"/>
          <w:szCs w:val="22"/>
        </w:rPr>
        <w:t xml:space="preserve">The guidance is clear that organizations using federal funds can access the 15% de minimis rate — but it says nothing equivalent for state-funded grants. </w:t>
      </w:r>
    </w:p>
    <w:p w14:paraId="46B121CD" w14:textId="0C4B187A" w:rsidR="00F203EA" w:rsidRPr="00F203EA" w:rsidRDefault="00F203EA" w:rsidP="00F203EA">
      <w:pPr>
        <w:numPr>
          <w:ilvl w:val="0"/>
          <w:numId w:val="1"/>
        </w:numPr>
        <w:spacing w:line="240" w:lineRule="auto"/>
        <w:rPr>
          <w:rFonts w:ascii="Aptos" w:hAnsi="Aptos"/>
          <w:sz w:val="22"/>
          <w:szCs w:val="22"/>
        </w:rPr>
      </w:pPr>
      <w:r w:rsidRPr="00F203EA">
        <w:rPr>
          <w:rFonts w:ascii="Aptos" w:hAnsi="Aptos"/>
          <w:sz w:val="22"/>
          <w:szCs w:val="22"/>
        </w:rPr>
        <w:t>For our organization, state</w:t>
      </w:r>
      <w:r>
        <w:rPr>
          <w:rFonts w:ascii="Aptos" w:hAnsi="Aptos"/>
          <w:sz w:val="22"/>
          <w:szCs w:val="22"/>
        </w:rPr>
        <w:t xml:space="preserve"> contracts &amp; grants</w:t>
      </w:r>
      <w:r w:rsidRPr="00F203EA">
        <w:rPr>
          <w:rFonts w:ascii="Aptos" w:hAnsi="Aptos"/>
          <w:sz w:val="22"/>
          <w:szCs w:val="22"/>
        </w:rPr>
        <w:t xml:space="preserve"> are a significant part of our work. Without a clear minimum standard for state grants, I am concerned that the new "necessary and reasonable" language will be interpreted differently by every agency we work with — which is exactly the problem we have today.</w:t>
      </w:r>
    </w:p>
    <w:p w14:paraId="146A9635"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The list of allowable costs is too narrow.</w:t>
      </w:r>
    </w:p>
    <w:p w14:paraId="581135D6" w14:textId="77777777" w:rsidR="00F203EA" w:rsidRPr="00F203EA" w:rsidRDefault="00F203EA" w:rsidP="00F203EA">
      <w:pPr>
        <w:numPr>
          <w:ilvl w:val="0"/>
          <w:numId w:val="2"/>
        </w:numPr>
        <w:spacing w:line="240" w:lineRule="auto"/>
        <w:rPr>
          <w:rFonts w:ascii="Aptos" w:hAnsi="Aptos"/>
          <w:sz w:val="22"/>
          <w:szCs w:val="22"/>
        </w:rPr>
      </w:pPr>
      <w:r w:rsidRPr="00F203EA">
        <w:rPr>
          <w:rFonts w:ascii="Aptos" w:hAnsi="Aptos"/>
          <w:sz w:val="22"/>
          <w:szCs w:val="22"/>
        </w:rPr>
        <w:t xml:space="preserve">Table 1 lists only five types of allowable costs. </w:t>
      </w:r>
    </w:p>
    <w:p w14:paraId="274B30A1" w14:textId="77777777" w:rsidR="00F203EA" w:rsidRPr="00F203EA" w:rsidRDefault="00F203EA" w:rsidP="00F203EA">
      <w:pPr>
        <w:numPr>
          <w:ilvl w:val="0"/>
          <w:numId w:val="2"/>
        </w:numPr>
        <w:spacing w:line="240" w:lineRule="auto"/>
        <w:rPr>
          <w:rFonts w:ascii="Aptos" w:hAnsi="Aptos"/>
          <w:sz w:val="22"/>
          <w:szCs w:val="22"/>
        </w:rPr>
      </w:pPr>
      <w:r w:rsidRPr="00F203EA">
        <w:rPr>
          <w:rFonts w:ascii="Aptos" w:hAnsi="Aptos"/>
          <w:sz w:val="22"/>
          <w:szCs w:val="22"/>
        </w:rPr>
        <w:t xml:space="preserve">In our day-to-day work, we regularly incur costs for things like technology and data systems, staff training, insurance, and facilities — all of which are essential to delivering on our grant commitments and are recognized as allowable under federal Uniform Guidance. </w:t>
      </w:r>
    </w:p>
    <w:p w14:paraId="0A955AD2" w14:textId="77777777" w:rsidR="00F203EA" w:rsidRPr="00F203EA" w:rsidRDefault="00F203EA" w:rsidP="00F203EA">
      <w:pPr>
        <w:numPr>
          <w:ilvl w:val="0"/>
          <w:numId w:val="2"/>
        </w:numPr>
        <w:spacing w:line="240" w:lineRule="auto"/>
        <w:rPr>
          <w:rFonts w:ascii="Aptos" w:hAnsi="Aptos"/>
          <w:sz w:val="22"/>
          <w:szCs w:val="22"/>
        </w:rPr>
      </w:pPr>
      <w:r w:rsidRPr="00F203EA">
        <w:rPr>
          <w:rFonts w:ascii="Aptos" w:hAnsi="Aptos"/>
          <w:sz w:val="22"/>
          <w:szCs w:val="22"/>
        </w:rPr>
        <w:t>If agency staff treat Table 1 as a complete list, it will create unnecessary conflicts during budget negotiations.</w:t>
      </w:r>
    </w:p>
    <w:p w14:paraId="1EC9E4F6"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The conclusion still sounds like "minimize overhead."</w:t>
      </w:r>
    </w:p>
    <w:p w14:paraId="42616D76" w14:textId="37F6C435" w:rsidR="00F203EA" w:rsidRPr="00F203EA" w:rsidRDefault="00F203EA" w:rsidP="00F203EA">
      <w:pPr>
        <w:numPr>
          <w:ilvl w:val="0"/>
          <w:numId w:val="3"/>
        </w:numPr>
        <w:spacing w:line="240" w:lineRule="auto"/>
        <w:rPr>
          <w:rFonts w:ascii="Aptos" w:hAnsi="Aptos"/>
          <w:sz w:val="22"/>
          <w:szCs w:val="22"/>
        </w:rPr>
      </w:pPr>
      <w:r w:rsidRPr="00F203EA">
        <w:rPr>
          <w:rFonts w:ascii="Aptos" w:hAnsi="Aptos"/>
          <w:sz w:val="22"/>
          <w:szCs w:val="22"/>
        </w:rPr>
        <w:t>The guidance concludes by stating that the goal is to "maximize the portion of grant funding devoted to program delivery."</w:t>
      </w:r>
      <w:r>
        <w:rPr>
          <w:rFonts w:ascii="Aptos" w:hAnsi="Aptos"/>
          <w:sz w:val="22"/>
          <w:szCs w:val="22"/>
        </w:rPr>
        <w:t xml:space="preserve"> </w:t>
      </w:r>
      <w:r w:rsidRPr="00F203EA">
        <w:rPr>
          <w:rFonts w:ascii="Aptos" w:hAnsi="Aptos"/>
          <w:sz w:val="22"/>
          <w:szCs w:val="22"/>
        </w:rPr>
        <w:t xml:space="preserve">This framing puts us right back where we started. </w:t>
      </w:r>
    </w:p>
    <w:p w14:paraId="2EB11545" w14:textId="77777777" w:rsidR="00F203EA" w:rsidRPr="00F203EA" w:rsidRDefault="00F203EA" w:rsidP="00F203EA">
      <w:pPr>
        <w:numPr>
          <w:ilvl w:val="0"/>
          <w:numId w:val="3"/>
        </w:numPr>
        <w:spacing w:line="240" w:lineRule="auto"/>
        <w:rPr>
          <w:rFonts w:ascii="Aptos" w:hAnsi="Aptos"/>
          <w:sz w:val="22"/>
          <w:szCs w:val="22"/>
        </w:rPr>
      </w:pPr>
      <w:r w:rsidRPr="00F203EA">
        <w:rPr>
          <w:rFonts w:ascii="Aptos" w:hAnsi="Aptos"/>
          <w:sz w:val="22"/>
          <w:szCs w:val="22"/>
        </w:rPr>
        <w:t>Administrative costs are not a drain on program delivery — they are what makes program delivery possible. We cannot track outcomes, manage compliance, pay staff fairly, or maintain financial integrity without them.</w:t>
      </w:r>
    </w:p>
    <w:p w14:paraId="5A89C3E4"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 </w:t>
      </w:r>
    </w:p>
    <w:p w14:paraId="722CFB22"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Q7: Questions the Guidance Does Not Answer</w:t>
      </w:r>
    </w:p>
    <w:p w14:paraId="42AB4A7A"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After reading the guidance, I am left with several practical questions that will directly affect how our organization navigates grant negotiations:</w:t>
      </w:r>
    </w:p>
    <w:p w14:paraId="4054FF5D" w14:textId="77777777" w:rsidR="00F203EA" w:rsidRPr="00F203EA" w:rsidRDefault="00F203EA" w:rsidP="00F203EA">
      <w:pPr>
        <w:numPr>
          <w:ilvl w:val="0"/>
          <w:numId w:val="4"/>
        </w:numPr>
        <w:spacing w:line="240" w:lineRule="auto"/>
        <w:rPr>
          <w:rFonts w:ascii="Aptos" w:hAnsi="Aptos"/>
          <w:sz w:val="22"/>
          <w:szCs w:val="22"/>
        </w:rPr>
      </w:pPr>
      <w:r w:rsidRPr="00F203EA">
        <w:rPr>
          <w:rFonts w:ascii="Aptos" w:hAnsi="Aptos"/>
          <w:sz w:val="22"/>
          <w:szCs w:val="22"/>
        </w:rPr>
        <w:t>If state-funded grants have no minimum standard, what prevents an agency from continuing to set limits of 5% or even 0%? What has actually changed for us?</w:t>
      </w:r>
    </w:p>
    <w:p w14:paraId="17D572D9" w14:textId="77777777" w:rsidR="00F203EA" w:rsidRPr="00F203EA" w:rsidRDefault="00F203EA" w:rsidP="00F203EA">
      <w:pPr>
        <w:numPr>
          <w:ilvl w:val="0"/>
          <w:numId w:val="4"/>
        </w:numPr>
        <w:spacing w:line="240" w:lineRule="auto"/>
        <w:rPr>
          <w:rFonts w:ascii="Aptos" w:hAnsi="Aptos"/>
          <w:sz w:val="22"/>
          <w:szCs w:val="22"/>
        </w:rPr>
      </w:pPr>
      <w:r w:rsidRPr="00F203EA">
        <w:rPr>
          <w:rFonts w:ascii="Aptos" w:hAnsi="Aptos"/>
          <w:sz w:val="22"/>
          <w:szCs w:val="22"/>
        </w:rPr>
        <w:t>The checklist asks us to prove each cost is "essential to this specific grant." But our administrative costs — finance, HR, IT, management — support all of our programs at once. How are we supposed to attribute them grant-by-grant when that is exactly what an indirect cost rate is designed to avoid?</w:t>
      </w:r>
    </w:p>
    <w:p w14:paraId="72A39D0F" w14:textId="77777777" w:rsidR="00F203EA" w:rsidRPr="00F203EA" w:rsidRDefault="00F203EA" w:rsidP="00F203EA">
      <w:pPr>
        <w:numPr>
          <w:ilvl w:val="0"/>
          <w:numId w:val="4"/>
        </w:numPr>
        <w:spacing w:line="240" w:lineRule="auto"/>
        <w:rPr>
          <w:rFonts w:ascii="Aptos" w:hAnsi="Aptos"/>
          <w:sz w:val="22"/>
          <w:szCs w:val="22"/>
        </w:rPr>
      </w:pPr>
      <w:r w:rsidRPr="00F203EA">
        <w:rPr>
          <w:rFonts w:ascii="Aptos" w:hAnsi="Aptos"/>
          <w:sz w:val="22"/>
          <w:szCs w:val="22"/>
        </w:rPr>
        <w:lastRenderedPageBreak/>
        <w:t>If the checklist is voluntary, can an agency still require us to complete it as part of our application? What recourse do we have if they do?</w:t>
      </w:r>
    </w:p>
    <w:p w14:paraId="09CD4B6D" w14:textId="77777777" w:rsidR="00F203EA" w:rsidRPr="00F203EA" w:rsidRDefault="00F203EA" w:rsidP="00F203EA">
      <w:pPr>
        <w:numPr>
          <w:ilvl w:val="0"/>
          <w:numId w:val="4"/>
        </w:numPr>
        <w:spacing w:line="240" w:lineRule="auto"/>
        <w:rPr>
          <w:rFonts w:ascii="Aptos" w:hAnsi="Aptos"/>
          <w:sz w:val="22"/>
          <w:szCs w:val="22"/>
        </w:rPr>
      </w:pPr>
      <w:r w:rsidRPr="00F203EA">
        <w:rPr>
          <w:rFonts w:ascii="Aptos" w:hAnsi="Aptos"/>
          <w:sz w:val="22"/>
          <w:szCs w:val="22"/>
        </w:rPr>
        <w:t>Will there be any way for organizations to raise concerns if a negotiated limit feels unreasonably low? Is there an appeals process?</w:t>
      </w:r>
    </w:p>
    <w:p w14:paraId="23D35B8F" w14:textId="77777777" w:rsidR="00F203EA" w:rsidRPr="00F203EA" w:rsidRDefault="00F203EA" w:rsidP="00F203EA">
      <w:pPr>
        <w:numPr>
          <w:ilvl w:val="0"/>
          <w:numId w:val="4"/>
        </w:numPr>
        <w:spacing w:line="240" w:lineRule="auto"/>
        <w:rPr>
          <w:rFonts w:ascii="Aptos" w:hAnsi="Aptos"/>
          <w:sz w:val="22"/>
          <w:szCs w:val="22"/>
        </w:rPr>
      </w:pPr>
      <w:r w:rsidRPr="00F203EA">
        <w:rPr>
          <w:rFonts w:ascii="Aptos" w:hAnsi="Aptos"/>
          <w:sz w:val="22"/>
          <w:szCs w:val="22"/>
        </w:rPr>
        <w:t>[OPTIONAL — ADD YOUR OWN EXPERIENCE HERE: For example: "In the past year, we were told by [Agency] that we could only charge X% in administrative costs on our grant. This meant we had to absorb $XX,XXX in real costs with no reimbursement. Here is what that meant for our work: ____"]</w:t>
      </w:r>
    </w:p>
    <w:p w14:paraId="7E6C30F2"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 </w:t>
      </w:r>
    </w:p>
    <w:p w14:paraId="179EB65E"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Q8: Additional Comments — Guidance Document</w:t>
      </w:r>
    </w:p>
    <w:p w14:paraId="3EC6F0C4"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We do see real value in what OGM has put forward here- this is a good step in the right direction.</w:t>
      </w:r>
    </w:p>
    <w:p w14:paraId="710F6704" w14:textId="77777777" w:rsidR="00F203EA" w:rsidRPr="00F203EA" w:rsidRDefault="00F203EA" w:rsidP="00F203EA">
      <w:pPr>
        <w:numPr>
          <w:ilvl w:val="0"/>
          <w:numId w:val="5"/>
        </w:numPr>
        <w:spacing w:line="240" w:lineRule="auto"/>
        <w:rPr>
          <w:rFonts w:ascii="Aptos" w:hAnsi="Aptos"/>
          <w:sz w:val="22"/>
          <w:szCs w:val="22"/>
        </w:rPr>
      </w:pPr>
      <w:r w:rsidRPr="00F203EA">
        <w:rPr>
          <w:rFonts w:ascii="Aptos" w:hAnsi="Aptos"/>
          <w:sz w:val="22"/>
          <w:szCs w:val="22"/>
        </w:rPr>
        <w:t>Having written guidance that explains what "necessary and reasonable" means — and that instructs agencies to consider complexity, organizational capacity, and grant size — is better than what exists today. The clarification that indirect costs and administrative costs are not the same thing is particularly helpful.</w:t>
      </w:r>
    </w:p>
    <w:p w14:paraId="76F00028" w14:textId="77777777" w:rsidR="00F203EA" w:rsidRPr="00F203EA" w:rsidRDefault="00F203EA" w:rsidP="00F203EA">
      <w:pPr>
        <w:numPr>
          <w:ilvl w:val="0"/>
          <w:numId w:val="5"/>
        </w:numPr>
        <w:spacing w:line="240" w:lineRule="auto"/>
        <w:rPr>
          <w:rFonts w:ascii="Aptos" w:hAnsi="Aptos"/>
          <w:sz w:val="22"/>
          <w:szCs w:val="22"/>
        </w:rPr>
      </w:pPr>
      <w:r w:rsidRPr="00F203EA">
        <w:rPr>
          <w:rFonts w:ascii="Aptos" w:hAnsi="Aptos"/>
          <w:sz w:val="22"/>
          <w:szCs w:val="22"/>
        </w:rPr>
        <w:t>Our core request is this: please establish a minimum floor for state-funded grants. The federal government uses 15% as its standard — and recently raised it to that level specifically because lower standards were not covering real costs. Minnesota's state-funded grants should do the same. Without a floor, this guidance leaves the most consequential decisions entirely to individual agencies, with no consistency and no accountability.</w:t>
      </w:r>
    </w:p>
    <w:p w14:paraId="7042FA89" w14:textId="77777777" w:rsidR="00F203EA" w:rsidRPr="00F203EA" w:rsidRDefault="00F203EA" w:rsidP="00F203EA">
      <w:pPr>
        <w:numPr>
          <w:ilvl w:val="0"/>
          <w:numId w:val="5"/>
        </w:numPr>
        <w:spacing w:line="240" w:lineRule="auto"/>
        <w:rPr>
          <w:rFonts w:ascii="Aptos" w:hAnsi="Aptos"/>
          <w:sz w:val="22"/>
          <w:szCs w:val="22"/>
        </w:rPr>
      </w:pPr>
      <w:r w:rsidRPr="00F203EA">
        <w:rPr>
          <w:rFonts w:ascii="Aptos" w:hAnsi="Aptos"/>
          <w:sz w:val="22"/>
          <w:szCs w:val="22"/>
        </w:rPr>
        <w:t>Underfunding administrative costs does not save money. It shifts those costs onto our organization, strains our staff, weakens our financial systems, and ultimately compromises the quality of services the state is paying us to deliver. Covering the true cost of the work is how the state gets the best return on its investment.</w:t>
      </w:r>
    </w:p>
    <w:p w14:paraId="54924B49"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 </w:t>
      </w:r>
    </w:p>
    <w:p w14:paraId="0B5F108E"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Q10: Clarity Issues — Voluntary Checklist Tool</w:t>
      </w:r>
    </w:p>
    <w:p w14:paraId="590AD3AD"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The Necessary Test does not work for indirect costs.</w:t>
      </w:r>
    </w:p>
    <w:p w14:paraId="0F67879D" w14:textId="77777777" w:rsidR="00F203EA" w:rsidRPr="00F203EA" w:rsidRDefault="00F203EA" w:rsidP="00F203EA">
      <w:pPr>
        <w:numPr>
          <w:ilvl w:val="0"/>
          <w:numId w:val="6"/>
        </w:numPr>
        <w:spacing w:line="240" w:lineRule="auto"/>
        <w:rPr>
          <w:rFonts w:ascii="Aptos" w:hAnsi="Aptos"/>
          <w:sz w:val="22"/>
          <w:szCs w:val="22"/>
        </w:rPr>
      </w:pPr>
      <w:r w:rsidRPr="00F203EA">
        <w:rPr>
          <w:rFonts w:ascii="Aptos" w:hAnsi="Aptos"/>
          <w:sz w:val="22"/>
          <w:szCs w:val="22"/>
        </w:rPr>
        <w:t xml:space="preserve">Part 2 of the checklist asks whether each cost "can be attributed to this specific grant award." This question makes sense for direct costs — but not for indirect costs. </w:t>
      </w:r>
    </w:p>
    <w:p w14:paraId="11CA5DDE" w14:textId="77777777" w:rsidR="00F203EA" w:rsidRPr="00F203EA" w:rsidRDefault="00F203EA" w:rsidP="00F203EA">
      <w:pPr>
        <w:numPr>
          <w:ilvl w:val="0"/>
          <w:numId w:val="6"/>
        </w:numPr>
        <w:spacing w:line="240" w:lineRule="auto"/>
        <w:rPr>
          <w:rFonts w:ascii="Aptos" w:hAnsi="Aptos"/>
          <w:sz w:val="22"/>
          <w:szCs w:val="22"/>
        </w:rPr>
      </w:pPr>
      <w:r w:rsidRPr="00F203EA">
        <w:rPr>
          <w:rFonts w:ascii="Aptos" w:hAnsi="Aptos"/>
          <w:sz w:val="22"/>
          <w:szCs w:val="22"/>
        </w:rPr>
        <w:t>By definition, indirect costs are shared across all of our programs. That is why they are indirect.</w:t>
      </w:r>
    </w:p>
    <w:p w14:paraId="1B7FBA3C" w14:textId="77777777" w:rsidR="00F203EA" w:rsidRPr="00F203EA" w:rsidRDefault="00F203EA" w:rsidP="00F203EA">
      <w:pPr>
        <w:numPr>
          <w:ilvl w:val="0"/>
          <w:numId w:val="6"/>
        </w:numPr>
        <w:spacing w:line="240" w:lineRule="auto"/>
        <w:rPr>
          <w:rFonts w:ascii="Aptos" w:hAnsi="Aptos"/>
          <w:sz w:val="22"/>
          <w:szCs w:val="22"/>
        </w:rPr>
      </w:pPr>
      <w:r w:rsidRPr="00F203EA">
        <w:rPr>
          <w:rFonts w:ascii="Aptos" w:hAnsi="Aptos"/>
          <w:sz w:val="22"/>
          <w:szCs w:val="22"/>
        </w:rPr>
        <w:t xml:space="preserve">Federal Uniform Guidance (2 CFR § 200.412) explicitly recognizes that "there is no universal rule for classifying certain costs as direct or indirect." </w:t>
      </w:r>
    </w:p>
    <w:p w14:paraId="0E184633" w14:textId="77777777" w:rsidR="00F203EA" w:rsidRPr="00F203EA" w:rsidRDefault="00F203EA" w:rsidP="00F203EA">
      <w:pPr>
        <w:numPr>
          <w:ilvl w:val="0"/>
          <w:numId w:val="6"/>
        </w:numPr>
        <w:spacing w:line="240" w:lineRule="auto"/>
        <w:rPr>
          <w:rFonts w:ascii="Aptos" w:hAnsi="Aptos"/>
          <w:sz w:val="22"/>
          <w:szCs w:val="22"/>
        </w:rPr>
      </w:pPr>
      <w:r w:rsidRPr="00F203EA">
        <w:rPr>
          <w:rFonts w:ascii="Aptos" w:hAnsi="Aptos"/>
          <w:sz w:val="22"/>
          <w:szCs w:val="22"/>
        </w:rPr>
        <w:t>Applying this checklist to indirect costs would force us to do something that federal standards say cannot be done. The checklist needs to be clear that it applies to direct costs only.</w:t>
      </w:r>
    </w:p>
    <w:p w14:paraId="5449C10F"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"Voluntary" needs to mean voluntary.</w:t>
      </w:r>
    </w:p>
    <w:p w14:paraId="2C802E92" w14:textId="77777777" w:rsidR="00F203EA" w:rsidRPr="00F203EA" w:rsidRDefault="00F203EA" w:rsidP="00F203EA">
      <w:pPr>
        <w:numPr>
          <w:ilvl w:val="0"/>
          <w:numId w:val="7"/>
        </w:numPr>
        <w:spacing w:line="240" w:lineRule="auto"/>
        <w:rPr>
          <w:rFonts w:ascii="Aptos" w:hAnsi="Aptos"/>
          <w:sz w:val="22"/>
          <w:szCs w:val="22"/>
        </w:rPr>
      </w:pPr>
      <w:r w:rsidRPr="00F203EA">
        <w:rPr>
          <w:rFonts w:ascii="Aptos" w:hAnsi="Aptos"/>
          <w:sz w:val="22"/>
          <w:szCs w:val="22"/>
        </w:rPr>
        <w:lastRenderedPageBreak/>
        <w:t xml:space="preserve">We are concerned that even though the checklist is described as optional, agencies will use it as a required form during budget review. </w:t>
      </w:r>
    </w:p>
    <w:p w14:paraId="4C8773E0" w14:textId="77777777" w:rsidR="00F203EA" w:rsidRPr="00F203EA" w:rsidRDefault="00F203EA" w:rsidP="00F203EA">
      <w:pPr>
        <w:numPr>
          <w:ilvl w:val="0"/>
          <w:numId w:val="7"/>
        </w:numPr>
        <w:spacing w:line="240" w:lineRule="auto"/>
        <w:rPr>
          <w:rFonts w:ascii="Aptos" w:hAnsi="Aptos"/>
          <w:sz w:val="22"/>
          <w:szCs w:val="22"/>
        </w:rPr>
      </w:pPr>
      <w:r w:rsidRPr="00F203EA">
        <w:rPr>
          <w:rFonts w:ascii="Aptos" w:hAnsi="Aptos"/>
          <w:sz w:val="22"/>
          <w:szCs w:val="22"/>
        </w:rPr>
        <w:t>We have seen this pattern before — tools that start as guidance become de facto requirements. Please add explicit language stating that agencies cannot condition grant awards on completion of this checklist.</w:t>
      </w:r>
    </w:p>
    <w:p w14:paraId="0375343E"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 </w:t>
      </w:r>
    </w:p>
    <w:p w14:paraId="4261D629" w14:textId="77777777" w:rsidR="00F203EA" w:rsidRPr="00F203EA" w:rsidRDefault="00F203EA" w:rsidP="00F203EA">
      <w:pPr>
        <w:spacing w:line="240" w:lineRule="auto"/>
        <w:rPr>
          <w:rFonts w:ascii="Aptos" w:hAnsi="Aptos"/>
          <w:sz w:val="22"/>
          <w:szCs w:val="22"/>
        </w:rPr>
      </w:pPr>
      <w:r w:rsidRPr="00F203EA">
        <w:rPr>
          <w:rFonts w:ascii="Aptos" w:hAnsi="Aptos"/>
          <w:b/>
          <w:bCs/>
          <w:sz w:val="22"/>
          <w:szCs w:val="22"/>
        </w:rPr>
        <w:t>Q11: Additional Comments — Checklist Tool</w:t>
      </w:r>
    </w:p>
    <w:p w14:paraId="3E61C01B" w14:textId="77777777" w:rsidR="00F203EA" w:rsidRPr="00F203EA" w:rsidRDefault="00F203EA" w:rsidP="00F203EA">
      <w:pPr>
        <w:spacing w:line="240" w:lineRule="auto"/>
        <w:rPr>
          <w:rFonts w:ascii="Aptos" w:hAnsi="Aptos"/>
          <w:sz w:val="22"/>
          <w:szCs w:val="22"/>
        </w:rPr>
      </w:pPr>
      <w:r w:rsidRPr="00F203EA">
        <w:rPr>
          <w:rFonts w:ascii="Aptos" w:hAnsi="Aptos"/>
          <w:sz w:val="22"/>
          <w:szCs w:val="22"/>
        </w:rPr>
        <w:t xml:space="preserve">The Reasonable Test in Part 1 and the Administrative/Clerical Salaries section in Part 3 are genuinely useful. </w:t>
      </w:r>
    </w:p>
    <w:p w14:paraId="4713A426" w14:textId="77777777" w:rsidR="00F203EA" w:rsidRPr="00F203EA" w:rsidRDefault="00F203EA" w:rsidP="00F203EA">
      <w:pPr>
        <w:numPr>
          <w:ilvl w:val="0"/>
          <w:numId w:val="8"/>
        </w:numPr>
        <w:spacing w:line="240" w:lineRule="auto"/>
        <w:rPr>
          <w:rFonts w:ascii="Aptos" w:hAnsi="Aptos"/>
          <w:sz w:val="22"/>
          <w:szCs w:val="22"/>
        </w:rPr>
      </w:pPr>
      <w:r w:rsidRPr="00F203EA">
        <w:rPr>
          <w:rFonts w:ascii="Aptos" w:hAnsi="Aptos"/>
          <w:sz w:val="22"/>
          <w:szCs w:val="22"/>
        </w:rPr>
        <w:t>They give both our staff and agency staff a common framework for evaluating direct costs, which reduces the guesswork and inconsistency we experience today. We would like to see this checklist succeed — but for it to be helpful rather than harmful, it needs to clearly state that it does not apply to costs claimed under a federally negotiated indirect cost rate or the federal de minimis rate.</w:t>
      </w:r>
    </w:p>
    <w:p w14:paraId="578D2590" w14:textId="77777777" w:rsidR="00F203EA" w:rsidRPr="00F203EA" w:rsidRDefault="00F203EA" w:rsidP="00F203EA">
      <w:pPr>
        <w:numPr>
          <w:ilvl w:val="0"/>
          <w:numId w:val="8"/>
        </w:numPr>
        <w:spacing w:line="240" w:lineRule="auto"/>
        <w:rPr>
          <w:rFonts w:ascii="Aptos" w:hAnsi="Aptos"/>
          <w:sz w:val="22"/>
          <w:szCs w:val="22"/>
        </w:rPr>
      </w:pPr>
      <w:r w:rsidRPr="00F203EA">
        <w:rPr>
          <w:rFonts w:ascii="Aptos" w:hAnsi="Aptos"/>
          <w:sz w:val="22"/>
          <w:szCs w:val="22"/>
        </w:rPr>
        <w:t>We would also ask that Part 3 clarify that when administrative salaries cannot be charged as direct costs, they are still legitimately recoverable through an indirect cost pool. As written, the section could be read to imply those costs simply are not allowable — which would be incorrect and damaging to organizations that rely on indirect rates to cover shared staff.</w:t>
      </w:r>
    </w:p>
    <w:p w14:paraId="5CE6E465" w14:textId="77777777" w:rsidR="00F203EA" w:rsidRPr="00F203EA" w:rsidRDefault="00F203EA" w:rsidP="00F203EA">
      <w:pPr>
        <w:numPr>
          <w:ilvl w:val="0"/>
          <w:numId w:val="8"/>
        </w:numPr>
        <w:spacing w:line="240" w:lineRule="auto"/>
        <w:rPr>
          <w:rFonts w:ascii="Aptos" w:hAnsi="Aptos"/>
          <w:sz w:val="22"/>
          <w:szCs w:val="22"/>
        </w:rPr>
      </w:pPr>
      <w:r w:rsidRPr="00F203EA">
        <w:rPr>
          <w:rFonts w:ascii="Aptos" w:hAnsi="Aptos"/>
          <w:sz w:val="22"/>
          <w:szCs w:val="22"/>
        </w:rPr>
        <w:t>We appreciate the opportunity to comment on this draft guidance and the accompanying checklist tool. The shift from "minimize administrative costs" to "necessary and reasonable" reflects the reality of what it actually costs to deliver quality services — and that is a meaningful step forward</w:t>
      </w:r>
    </w:p>
    <w:p w14:paraId="20D4E3CA" w14:textId="168C9072" w:rsidR="00F203EA" w:rsidRPr="00F203EA" w:rsidRDefault="00753194" w:rsidP="00F203EA">
      <w:pPr>
        <w:numPr>
          <w:ilvl w:val="0"/>
          <w:numId w:val="8"/>
        </w:numPr>
        <w:spacing w:line="240" w:lineRule="auto"/>
        <w:rPr>
          <w:rFonts w:ascii="Aptos" w:hAnsi="Aptos"/>
          <w:sz w:val="22"/>
          <w:szCs w:val="22"/>
        </w:rPr>
      </w:pPr>
      <w:r>
        <w:rPr>
          <w:rFonts w:ascii="Aptos" w:hAnsi="Aptos"/>
          <w:sz w:val="22"/>
          <w:szCs w:val="22"/>
        </w:rPr>
        <w:t>[</w:t>
      </w:r>
      <w:r w:rsidRPr="00F203EA">
        <w:rPr>
          <w:rFonts w:ascii="Aptos" w:hAnsi="Aptos"/>
          <w:sz w:val="22"/>
          <w:szCs w:val="22"/>
        </w:rPr>
        <w:t>OPTIONAL</w:t>
      </w:r>
      <w:r>
        <w:rPr>
          <w:rFonts w:ascii="Aptos" w:hAnsi="Aptos"/>
          <w:sz w:val="22"/>
          <w:szCs w:val="22"/>
        </w:rPr>
        <w:t xml:space="preserve">- SHARE YOUR CONTACT INFO] </w:t>
      </w:r>
      <w:r w:rsidR="00F203EA" w:rsidRPr="00F203EA">
        <w:rPr>
          <w:rFonts w:ascii="Aptos" w:hAnsi="Aptos"/>
          <w:sz w:val="22"/>
          <w:szCs w:val="22"/>
        </w:rPr>
        <w:t xml:space="preserve">If you'd like you can share your name, title, organization, and contact information- but this is not required. </w:t>
      </w:r>
    </w:p>
    <w:p w14:paraId="1BB9545E" w14:textId="77777777" w:rsidR="004414B6" w:rsidRPr="00F203EA" w:rsidRDefault="004414B6" w:rsidP="00F203EA">
      <w:pPr>
        <w:spacing w:line="240" w:lineRule="auto"/>
        <w:rPr>
          <w:rFonts w:ascii="Aptos" w:hAnsi="Aptos"/>
          <w:sz w:val="22"/>
          <w:szCs w:val="22"/>
        </w:rPr>
      </w:pPr>
    </w:p>
    <w:sectPr w:rsidR="004414B6" w:rsidRPr="00F20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6BD"/>
    <w:multiLevelType w:val="multilevel"/>
    <w:tmpl w:val="714C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B64D8"/>
    <w:multiLevelType w:val="multilevel"/>
    <w:tmpl w:val="ECA8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522185"/>
    <w:multiLevelType w:val="multilevel"/>
    <w:tmpl w:val="5A6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5A4F47"/>
    <w:multiLevelType w:val="multilevel"/>
    <w:tmpl w:val="5906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1349F9"/>
    <w:multiLevelType w:val="multilevel"/>
    <w:tmpl w:val="45A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9F6A21"/>
    <w:multiLevelType w:val="multilevel"/>
    <w:tmpl w:val="A52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D57059"/>
    <w:multiLevelType w:val="multilevel"/>
    <w:tmpl w:val="CC9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F62BEC"/>
    <w:multiLevelType w:val="multilevel"/>
    <w:tmpl w:val="4AA8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2267144">
    <w:abstractNumId w:val="5"/>
  </w:num>
  <w:num w:numId="2" w16cid:durableId="560558416">
    <w:abstractNumId w:val="3"/>
  </w:num>
  <w:num w:numId="3" w16cid:durableId="1209610423">
    <w:abstractNumId w:val="4"/>
  </w:num>
  <w:num w:numId="4" w16cid:durableId="1950577652">
    <w:abstractNumId w:val="1"/>
  </w:num>
  <w:num w:numId="5" w16cid:durableId="548884824">
    <w:abstractNumId w:val="2"/>
  </w:num>
  <w:num w:numId="6" w16cid:durableId="1411122272">
    <w:abstractNumId w:val="6"/>
  </w:num>
  <w:num w:numId="7" w16cid:durableId="207880678">
    <w:abstractNumId w:val="0"/>
  </w:num>
  <w:num w:numId="8" w16cid:durableId="2038240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EA"/>
    <w:rsid w:val="00335B69"/>
    <w:rsid w:val="003D01AC"/>
    <w:rsid w:val="004414B6"/>
    <w:rsid w:val="00545C77"/>
    <w:rsid w:val="00753194"/>
    <w:rsid w:val="00A52F03"/>
    <w:rsid w:val="00CB63AD"/>
    <w:rsid w:val="00E642F6"/>
    <w:rsid w:val="00F01E0B"/>
    <w:rsid w:val="00F20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BD50"/>
  <w15:chartTrackingRefBased/>
  <w15:docId w15:val="{9F7D1956-4D19-41E9-A8DF-FD0C7B44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3EA"/>
    <w:rPr>
      <w:rFonts w:eastAsiaTheme="majorEastAsia" w:cstheme="majorBidi"/>
      <w:color w:val="272727" w:themeColor="text1" w:themeTint="D8"/>
    </w:rPr>
  </w:style>
  <w:style w:type="paragraph" w:styleId="Title">
    <w:name w:val="Title"/>
    <w:basedOn w:val="Normal"/>
    <w:next w:val="Normal"/>
    <w:link w:val="TitleChar"/>
    <w:uiPriority w:val="10"/>
    <w:qFormat/>
    <w:rsid w:val="00F20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3EA"/>
    <w:pPr>
      <w:spacing w:before="160"/>
      <w:jc w:val="center"/>
    </w:pPr>
    <w:rPr>
      <w:i/>
      <w:iCs/>
      <w:color w:val="404040" w:themeColor="text1" w:themeTint="BF"/>
    </w:rPr>
  </w:style>
  <w:style w:type="character" w:customStyle="1" w:styleId="QuoteChar">
    <w:name w:val="Quote Char"/>
    <w:basedOn w:val="DefaultParagraphFont"/>
    <w:link w:val="Quote"/>
    <w:uiPriority w:val="29"/>
    <w:rsid w:val="00F203EA"/>
    <w:rPr>
      <w:i/>
      <w:iCs/>
      <w:color w:val="404040" w:themeColor="text1" w:themeTint="BF"/>
    </w:rPr>
  </w:style>
  <w:style w:type="paragraph" w:styleId="ListParagraph">
    <w:name w:val="List Paragraph"/>
    <w:basedOn w:val="Normal"/>
    <w:uiPriority w:val="34"/>
    <w:qFormat/>
    <w:rsid w:val="00F203EA"/>
    <w:pPr>
      <w:ind w:left="720"/>
      <w:contextualSpacing/>
    </w:pPr>
  </w:style>
  <w:style w:type="character" w:styleId="IntenseEmphasis">
    <w:name w:val="Intense Emphasis"/>
    <w:basedOn w:val="DefaultParagraphFont"/>
    <w:uiPriority w:val="21"/>
    <w:qFormat/>
    <w:rsid w:val="00F203EA"/>
    <w:rPr>
      <w:i/>
      <w:iCs/>
      <w:color w:val="0F4761" w:themeColor="accent1" w:themeShade="BF"/>
    </w:rPr>
  </w:style>
  <w:style w:type="paragraph" w:styleId="IntenseQuote">
    <w:name w:val="Intense Quote"/>
    <w:basedOn w:val="Normal"/>
    <w:next w:val="Normal"/>
    <w:link w:val="IntenseQuoteChar"/>
    <w:uiPriority w:val="30"/>
    <w:qFormat/>
    <w:rsid w:val="00F20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3EA"/>
    <w:rPr>
      <w:i/>
      <w:iCs/>
      <w:color w:val="0F4761" w:themeColor="accent1" w:themeShade="BF"/>
    </w:rPr>
  </w:style>
  <w:style w:type="character" w:styleId="IntenseReference">
    <w:name w:val="Intense Reference"/>
    <w:basedOn w:val="DefaultParagraphFont"/>
    <w:uiPriority w:val="32"/>
    <w:qFormat/>
    <w:rsid w:val="00F203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5CDA8E364FE49A45611A5FF60F0DF" ma:contentTypeVersion="17" ma:contentTypeDescription="Create a new document." ma:contentTypeScope="" ma:versionID="d66ff60573e9f4c4607b0ccadc0d6523">
  <xsd:schema xmlns:xsd="http://www.w3.org/2001/XMLSchema" xmlns:xs="http://www.w3.org/2001/XMLSchema" xmlns:p="http://schemas.microsoft.com/office/2006/metadata/properties" xmlns:ns2="b0e4bc1b-56a2-46cb-8d83-5b9425a09554" xmlns:ns3="d8558702-0e34-4466-9e48-41fe84784351" targetNamespace="http://schemas.microsoft.com/office/2006/metadata/properties" ma:root="true" ma:fieldsID="ff261f82d0f5c232eb041c2e13705698" ns2:_="" ns3:_="">
    <xsd:import namespace="b0e4bc1b-56a2-46cb-8d83-5b9425a09554"/>
    <xsd:import namespace="d8558702-0e34-4466-9e48-41fe847843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4bc1b-56a2-46cb-8d83-5b9425a0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e8b568-ef9d-49b4-9e2d-908f0969f3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58702-0e34-4466-9e48-41fe8478435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b9aac0-1a58-454b-b520-99c30804d9fa}" ma:internalName="TaxCatchAll" ma:showField="CatchAllData" ma:web="d8558702-0e34-4466-9e48-41fe84784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e4bc1b-56a2-46cb-8d83-5b9425a09554">
      <Terms xmlns="http://schemas.microsoft.com/office/infopath/2007/PartnerControls"/>
    </lcf76f155ced4ddcb4097134ff3c332f>
    <TaxCatchAll xmlns="d8558702-0e34-4466-9e48-41fe84784351" xsi:nil="true"/>
  </documentManagement>
</p:properties>
</file>

<file path=customXml/itemProps1.xml><?xml version="1.0" encoding="utf-8"?>
<ds:datastoreItem xmlns:ds="http://schemas.openxmlformats.org/officeDocument/2006/customXml" ds:itemID="{F529E098-A03E-4850-BC7D-F15AC1CD212C}"/>
</file>

<file path=customXml/itemProps2.xml><?xml version="1.0" encoding="utf-8"?>
<ds:datastoreItem xmlns:ds="http://schemas.openxmlformats.org/officeDocument/2006/customXml" ds:itemID="{E7615C43-7DE1-4C5F-B3F8-9CFA5B6B67CD}"/>
</file>

<file path=customXml/itemProps3.xml><?xml version="1.0" encoding="utf-8"?>
<ds:datastoreItem xmlns:ds="http://schemas.openxmlformats.org/officeDocument/2006/customXml" ds:itemID="{638071F8-F1EB-487D-BCE8-87FD3505B8A3}"/>
</file>

<file path=docProps/app.xml><?xml version="1.0" encoding="utf-8"?>
<Properties xmlns="http://schemas.openxmlformats.org/officeDocument/2006/extended-properties" xmlns:vt="http://schemas.openxmlformats.org/officeDocument/2006/docPropsVTypes">
  <Template>Normal</Template>
  <TotalTime>4</TotalTime>
  <Pages>3</Pages>
  <Words>994</Words>
  <Characters>5667</Characters>
  <Application>Microsoft Office Word</Application>
  <DocSecurity>0</DocSecurity>
  <Lines>47</Lines>
  <Paragraphs>13</Paragraphs>
  <ScaleCrop>false</ScaleCrop>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Reinwald she/her</dc:creator>
  <cp:keywords/>
  <dc:description/>
  <cp:lastModifiedBy>Trisha Reinwald she/her</cp:lastModifiedBy>
  <cp:revision>2</cp:revision>
  <dcterms:created xsi:type="dcterms:W3CDTF">2026-07-07T16:26:00Z</dcterms:created>
  <dcterms:modified xsi:type="dcterms:W3CDTF">2026-07-07T16:30:00Z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0x010100D345CDA8E364FE49A45611A5FF60F0DF</vt:lpwstr>
  </property>
</Properties>
</file>